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4AB7DB77" w:rsidR="006255E7" w:rsidRPr="007C28E3" w:rsidRDefault="006255E7" w:rsidP="006255E7">
      <w:pPr>
        <w:pStyle w:val="3GPPHeader"/>
        <w:spacing w:after="60"/>
        <w:rPr>
          <w:sz w:val="32"/>
          <w:szCs w:val="32"/>
          <w:lang w:val="en-US"/>
        </w:rPr>
      </w:pPr>
      <w:r w:rsidRPr="007C28E3">
        <w:rPr>
          <w:lang w:val="en-US"/>
        </w:rPr>
        <w:t>3GPP TSG-RAN WG2 #1</w:t>
      </w:r>
      <w:r w:rsidR="00987313" w:rsidRPr="007C28E3">
        <w:rPr>
          <w:lang w:val="en-US"/>
        </w:rPr>
        <w:t>2</w:t>
      </w:r>
      <w:r w:rsidR="001437F4" w:rsidRPr="007C28E3">
        <w:rPr>
          <w:lang w:val="en-US"/>
        </w:rPr>
        <w:t>6</w:t>
      </w:r>
      <w:r w:rsidRPr="007C28E3">
        <w:rPr>
          <w:lang w:val="en-US"/>
        </w:rPr>
        <w:tab/>
      </w:r>
      <w:r w:rsidR="00B84E18" w:rsidRPr="00B84E18">
        <w:rPr>
          <w:sz w:val="32"/>
          <w:szCs w:val="32"/>
          <w:lang w:val="en-US"/>
        </w:rPr>
        <w:t>R2-2404844</w:t>
      </w:r>
    </w:p>
    <w:p w14:paraId="5104E0A7" w14:textId="1DCC1B4F" w:rsidR="006255E7" w:rsidRDefault="001437F4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6255E7">
        <w:rPr>
          <w:b/>
          <w:noProof/>
          <w:sz w:val="24"/>
        </w:rPr>
        <w:t xml:space="preserve">, </w:t>
      </w:r>
      <w:r w:rsidR="0016254D">
        <w:rPr>
          <w:b/>
          <w:noProof/>
          <w:sz w:val="24"/>
        </w:rPr>
        <w:t>20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16254D">
        <w:rPr>
          <w:b/>
          <w:noProof/>
          <w:sz w:val="24"/>
        </w:rPr>
        <w:t>24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 w:rsidR="0016254D">
        <w:rPr>
          <w:b/>
          <w:noProof/>
          <w:sz w:val="24"/>
        </w:rPr>
        <w:t>May</w:t>
      </w:r>
      <w:r w:rsidR="00E455C2">
        <w:rPr>
          <w:b/>
          <w:noProof/>
          <w:sz w:val="24"/>
        </w:rPr>
        <w:t xml:space="preserve"> 202</w:t>
      </w:r>
      <w:r w:rsidR="0016254D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025F61F1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6572BF">
        <w:rPr>
          <w:sz w:val="22"/>
          <w:szCs w:val="22"/>
        </w:rPr>
        <w:t>7.7.3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215C81D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60FA9" w:rsidRPr="00B60FA9">
        <w:rPr>
          <w:sz w:val="22"/>
          <w:szCs w:val="22"/>
        </w:rPr>
        <w:t>Comments on remaining NR NTN RILs</w:t>
      </w:r>
    </w:p>
    <w:p w14:paraId="041C83BC" w14:textId="63F51AA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201517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9719E06" w14:textId="77777777" w:rsidR="00CF0028" w:rsidRDefault="00B84E18" w:rsidP="00CF0028">
      <w:pPr>
        <w:pStyle w:val="Doc-title"/>
      </w:pPr>
      <w:hyperlink r:id="rId11" w:tooltip="C:Data3GPPRAN2InboxR2-2403762.zip" w:history="1">
        <w:r w:rsidR="00CF0028" w:rsidRPr="005F5F8E">
          <w:rPr>
            <w:rStyle w:val="Hyperlink"/>
          </w:rPr>
          <w:t>R2-2403762</w:t>
        </w:r>
      </w:hyperlink>
      <w:r w:rsidR="00CF0028">
        <w:tab/>
        <w:t>Updated Rapporteur’s input R18 NR NTN RRC RILs</w:t>
      </w:r>
      <w:r w:rsidR="00CF0028">
        <w:tab/>
        <w:t>Ericsson</w:t>
      </w:r>
      <w:r w:rsidR="00CF0028">
        <w:tab/>
        <w:t>discussion</w:t>
      </w:r>
      <w:r w:rsidR="00CF0028">
        <w:tab/>
        <w:t>Rel-18</w:t>
      </w:r>
      <w:r w:rsidR="00CF0028">
        <w:tab/>
        <w:t>NR_NTN_enh-Core</w:t>
      </w:r>
      <w:r w:rsidR="00CF0028">
        <w:tab/>
      </w:r>
    </w:p>
    <w:p w14:paraId="66C80F3D" w14:textId="77777777" w:rsidR="00CF0028" w:rsidRDefault="00CF0028" w:rsidP="00CF0028">
      <w:pPr>
        <w:pStyle w:val="Comments"/>
      </w:pPr>
      <w:r>
        <w:t>For the following RILs, the conclusion proposed by the rapporteur can be considered for agreement:</w:t>
      </w:r>
    </w:p>
    <w:p w14:paraId="23FD86CE" w14:textId="77777777" w:rsidR="00CF0028" w:rsidRDefault="00CF0028" w:rsidP="00CF0028">
      <w:pPr>
        <w:pStyle w:val="Comments"/>
      </w:pPr>
      <w:r>
        <w:t>C604, C650, C651, E145, E301, H063, H116, H117, H500, K005, K006, K007, N131, N132, S486, and V501.</w:t>
      </w:r>
    </w:p>
    <w:p w14:paraId="5029590A" w14:textId="77777777" w:rsidR="00CF0028" w:rsidRDefault="00CF0028" w:rsidP="00CF0028">
      <w:pPr>
        <w:pStyle w:val="Agreement"/>
      </w:pPr>
      <w:r>
        <w:t xml:space="preserve">The proposed conclusion is agreed for </w:t>
      </w:r>
      <w:r w:rsidRPr="005F5F8E">
        <w:t>C604, C650, C651, E145, E301, H063, H116, H117, H500, K005, K006, K007, N131, N132, S486, and V501.</w:t>
      </w:r>
    </w:p>
    <w:p w14:paraId="5D49A40E" w14:textId="77777777" w:rsidR="00CF0028" w:rsidRDefault="00CF0028" w:rsidP="00CF0028">
      <w:pPr>
        <w:pStyle w:val="Comments"/>
      </w:pPr>
    </w:p>
    <w:p w14:paraId="6D279B9A" w14:textId="77777777" w:rsidR="00CF0028" w:rsidRDefault="00CF0028" w:rsidP="00CF0028">
      <w:pPr>
        <w:pStyle w:val="Comments"/>
      </w:pPr>
      <w:r>
        <w:t>The following RILs need further discussion:</w:t>
      </w:r>
    </w:p>
    <w:p w14:paraId="23896014" w14:textId="77777777" w:rsidR="00CF0028" w:rsidRDefault="00CF0028" w:rsidP="00CF0028">
      <w:pPr>
        <w:pStyle w:val="Comments"/>
      </w:pPr>
      <w:r>
        <w:t>E252, H010, O600, V500, E251, E300, E302, and H115.</w:t>
      </w:r>
    </w:p>
    <w:p w14:paraId="68379FED" w14:textId="77777777" w:rsidR="00CF0028" w:rsidRDefault="00CF0028" w:rsidP="00CF0028">
      <w:pPr>
        <w:pStyle w:val="Agreement"/>
      </w:pPr>
      <w:r>
        <w:t>We agree on the rapporteur implementation of E300</w:t>
      </w:r>
    </w:p>
    <w:p w14:paraId="38FF3DEF" w14:textId="77777777" w:rsidR="00CF0028" w:rsidRPr="00567189" w:rsidRDefault="00CF0028" w:rsidP="00CF0028">
      <w:pPr>
        <w:pStyle w:val="Agreement"/>
      </w:pPr>
      <w:r>
        <w:t>We continue in the next meeting on E302 (and any other ToDo/flagged RILs not resolved at this meeting)</w:t>
      </w:r>
    </w:p>
    <w:p w14:paraId="1EAB9BD0" w14:textId="77777777" w:rsidR="00477768" w:rsidRDefault="00477768" w:rsidP="00CE0424">
      <w:pPr>
        <w:pStyle w:val="BodyText"/>
      </w:pPr>
    </w:p>
    <w:p w14:paraId="674539C0" w14:textId="45FE5D0C" w:rsidR="00F9471E" w:rsidRPr="00CE0424" w:rsidRDefault="00F9471E" w:rsidP="00CE0424">
      <w:pPr>
        <w:pStyle w:val="BodyText"/>
      </w:pPr>
      <w:r>
        <w:t>According to the rapporteur’s list</w:t>
      </w:r>
      <w:r w:rsidR="0034507B">
        <w:t xml:space="preserve"> distributed in the reflector</w:t>
      </w:r>
      <w:r>
        <w:t>, the RILs E302, H115 and H010 are marked as ToDo</w:t>
      </w:r>
      <w:r w:rsidR="006572BF">
        <w:t xml:space="preserve"> and require further discussion</w:t>
      </w:r>
      <w:r>
        <w:t>.</w:t>
      </w:r>
    </w:p>
    <w:p w14:paraId="03EABA2A" w14:textId="77771AEE" w:rsidR="00441B83" w:rsidRDefault="00230D18" w:rsidP="00BC33D3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AB0EB5E" w14:textId="03247215" w:rsidR="00F63950" w:rsidRDefault="00441B83" w:rsidP="00F63950">
      <w:pPr>
        <w:pStyle w:val="Heading2"/>
        <w:rPr>
          <w:sz w:val="30"/>
          <w:szCs w:val="18"/>
        </w:rPr>
      </w:pPr>
      <w:r>
        <w:t>2.1</w:t>
      </w:r>
      <w:r>
        <w:tab/>
      </w:r>
      <w:r w:rsidR="00F9471E">
        <w:rPr>
          <w:sz w:val="30"/>
          <w:szCs w:val="18"/>
        </w:rPr>
        <w:t>[E302]</w:t>
      </w:r>
    </w:p>
    <w:p w14:paraId="1A5FCB7C" w14:textId="0B053A46" w:rsidR="00DD3298" w:rsidRPr="00DD3298" w:rsidRDefault="00DD3298" w:rsidP="00DD3298">
      <w:r>
        <w:rPr>
          <w:noProof/>
        </w:rPr>
        <mc:AlternateContent>
          <mc:Choice Requires="wps">
            <w:drawing>
              <wp:inline distT="0" distB="0" distL="0" distR="0" wp14:anchorId="62994933" wp14:editId="0AD3491C">
                <wp:extent cx="6032311" cy="1404620"/>
                <wp:effectExtent l="0" t="0" r="2603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31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D6F1D" w14:textId="77777777" w:rsidR="00DD3298" w:rsidRDefault="00DD3298" w:rsidP="00DD3298">
                            <w:pPr>
                              <w:pStyle w:val="CommentText"/>
                              <w:spacing w:after="0"/>
                            </w:pPr>
                            <w:r>
                              <w:rPr>
                                <w:b/>
                              </w:rPr>
                              <w:t>[RIL]</w:t>
                            </w:r>
                            <w:r>
                              <w:t xml:space="preserve">: E302 </w:t>
                            </w:r>
                            <w:r>
                              <w:rPr>
                                <w:b/>
                              </w:rPr>
                              <w:t>[Delegate]</w:t>
                            </w:r>
                            <w:r>
                              <w:t>: Ericsson (Ignacio)</w:t>
                            </w:r>
                            <w:r w:rsidRPr="00F678E7"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[WI]</w:t>
                            </w:r>
                            <w:r>
                              <w:t xml:space="preserve">:  NTN </w:t>
                            </w:r>
                            <w:r>
                              <w:rPr>
                                <w:b/>
                              </w:rPr>
                              <w:t>[Class]</w:t>
                            </w:r>
                            <w:r>
                              <w:t xml:space="preserve">: 1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[Status]</w:t>
                            </w:r>
                            <w:r>
                              <w:rPr>
                                <w:color w:val="FF0000"/>
                              </w:rPr>
                              <w:t xml:space="preserve">: ToDo </w:t>
                            </w:r>
                            <w:r>
                              <w:rPr>
                                <w:b/>
                              </w:rPr>
                              <w:t>[TDoc]</w:t>
                            </w:r>
                            <w:r>
                              <w:t xml:space="preserve">: None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[Proposed Conclusion]</w:t>
                            </w:r>
                            <w:r>
                              <w:rPr>
                                <w:color w:val="FF0000"/>
                              </w:rPr>
                              <w:t xml:space="preserve">: </w:t>
                            </w:r>
                          </w:p>
                          <w:p w14:paraId="50DC8F90" w14:textId="77777777" w:rsidR="00DD3298" w:rsidRDefault="00DD3298" w:rsidP="00DD3298">
                            <w:pPr>
                              <w:pStyle w:val="CommentText"/>
                              <w:spacing w:after="0"/>
                            </w:pPr>
                            <w:r>
                              <w:rPr>
                                <w:b/>
                              </w:rPr>
                              <w:t>[Description]</w:t>
                            </w:r>
                            <w:r>
                              <w:t>: The present text precludes network to include the field for a different type of cell, e.g., quasi-Earth fixed cell. This is useful when network wants to configure measurements for a neighbor cell whose satellite assistance information is not present in SIB19. For instance, the cell could belong to a different shell in the satellite constellation.</w:t>
                            </w:r>
                          </w:p>
                          <w:p w14:paraId="387C7409" w14:textId="77777777" w:rsidR="00DD3298" w:rsidRDefault="00DD3298" w:rsidP="00DD3298">
                            <w:pPr>
                              <w:pStyle w:val="CommentText"/>
                              <w:spacing w:after="0"/>
                            </w:pPr>
                            <w:r>
                              <w:rPr>
                                <w:b/>
                              </w:rPr>
                              <w:t>[Proposed Change]</w:t>
                            </w:r>
                            <w:r>
                              <w:t>: Align the text with IoT NTN and make it optionally present when it is not mandatory.</w:t>
                            </w:r>
                          </w:p>
                          <w:p w14:paraId="680E221F" w14:textId="197C4641" w:rsidR="00DD3298" w:rsidRDefault="00DD3298" w:rsidP="00DD3298">
                            <w:r>
                              <w:rPr>
                                <w:b/>
                              </w:rPr>
                              <w:t>[Comments]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99493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">
                <v:textbox style="mso-fit-shape-to-text:t">
                  <w:txbxContent>
                    <w:p w14:paraId="753D6F1D" w14:textId="77777777" w:rsidR="00DD3298" w:rsidRDefault="00DD3298" w:rsidP="00DD3298">
                      <w:pPr>
                        <w:pStyle w:val="CommentText"/>
                        <w:spacing w:after="0"/>
                      </w:pPr>
                      <w:r>
                        <w:rPr>
                          <w:b/>
                        </w:rPr>
                        <w:t>[RIL]</w:t>
                      </w:r>
                      <w:r>
                        <w:t xml:space="preserve">: E302 </w:t>
                      </w:r>
                      <w:r>
                        <w:rPr>
                          <w:b/>
                        </w:rPr>
                        <w:t>[Delegate]</w:t>
                      </w:r>
                      <w:r>
                        <w:t>: Ericsson (Ignacio)</w:t>
                      </w:r>
                      <w:r w:rsidRPr="00F678E7">
                        <w:t xml:space="preserve"> </w:t>
                      </w:r>
                      <w:r>
                        <w:rPr>
                          <w:b/>
                        </w:rPr>
                        <w:t>[WI]</w:t>
                      </w:r>
                      <w:r>
                        <w:t xml:space="preserve">:  NTN </w:t>
                      </w:r>
                      <w:r>
                        <w:rPr>
                          <w:b/>
                        </w:rPr>
                        <w:t>[Class]</w:t>
                      </w:r>
                      <w:r>
                        <w:t xml:space="preserve">: 1 </w:t>
                      </w:r>
                      <w:r>
                        <w:rPr>
                          <w:b/>
                          <w:color w:val="FF0000"/>
                        </w:rPr>
                        <w:t>[Status]</w:t>
                      </w:r>
                      <w:r>
                        <w:rPr>
                          <w:color w:val="FF0000"/>
                        </w:rPr>
                        <w:t xml:space="preserve">: ToDo </w:t>
                      </w:r>
                      <w:r>
                        <w:rPr>
                          <w:b/>
                        </w:rPr>
                        <w:t>[TDoc]</w:t>
                      </w:r>
                      <w:r>
                        <w:t xml:space="preserve">: None </w:t>
                      </w:r>
                      <w:r>
                        <w:rPr>
                          <w:b/>
                          <w:color w:val="FF0000"/>
                        </w:rPr>
                        <w:t>[Proposed Conclusion]</w:t>
                      </w:r>
                      <w:r>
                        <w:rPr>
                          <w:color w:val="FF0000"/>
                        </w:rPr>
                        <w:t xml:space="preserve">: </w:t>
                      </w:r>
                    </w:p>
                    <w:p w14:paraId="50DC8F90" w14:textId="77777777" w:rsidR="00DD3298" w:rsidRDefault="00DD3298" w:rsidP="00DD3298">
                      <w:pPr>
                        <w:pStyle w:val="CommentText"/>
                        <w:spacing w:after="0"/>
                      </w:pPr>
                      <w:r>
                        <w:rPr>
                          <w:b/>
                        </w:rPr>
                        <w:t>[Description]</w:t>
                      </w:r>
                      <w:r>
                        <w:t>: The present text precludes network to include the field for a different type of cell, e.g., quasi-Earth fixed cell. This is useful when network wants to configure measurements for a neighbor cell whose satellite assistance information is not present in SIB19. For instance, the cell could belong to a different shell in the satellite constellation.</w:t>
                      </w:r>
                    </w:p>
                    <w:p w14:paraId="387C7409" w14:textId="77777777" w:rsidR="00DD3298" w:rsidRDefault="00DD3298" w:rsidP="00DD3298">
                      <w:pPr>
                        <w:pStyle w:val="CommentText"/>
                        <w:spacing w:after="0"/>
                      </w:pPr>
                      <w:r>
                        <w:rPr>
                          <w:b/>
                        </w:rPr>
                        <w:t>[Proposed Change]</w:t>
                      </w:r>
                      <w:r>
                        <w:t>: Align the text with IoT NTN and make it optionally present when it is not mandatory.</w:t>
                      </w:r>
                    </w:p>
                    <w:p w14:paraId="680E221F" w14:textId="197C4641" w:rsidR="00DD3298" w:rsidRDefault="00DD3298" w:rsidP="00DD3298">
                      <w:r>
                        <w:rPr>
                          <w:b/>
                        </w:rPr>
                        <w:t>[Comments]</w:t>
                      </w: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1FEC11" w14:textId="7D06FFA5" w:rsidR="00AC5555" w:rsidRDefault="00DD3298" w:rsidP="00757D66">
      <w:r>
        <w:t>Neighbour satellite assistance information</w:t>
      </w:r>
      <w:r w:rsidR="00430730">
        <w:t xml:space="preserve"> (SAI)</w:t>
      </w:r>
      <w:r>
        <w:t xml:space="preserve"> has been included in </w:t>
      </w:r>
      <w:r w:rsidR="00757D66" w:rsidRPr="00757D66">
        <w:rPr>
          <w:i/>
          <w:iCs/>
        </w:rPr>
        <w:t>MeasObjectNR</w:t>
      </w:r>
      <w:r w:rsidR="00757D66">
        <w:t xml:space="preserve"> to provide ephemeris, epoch time and reference location for Earth Moving cells in measurement event D2 and conditional event D2. </w:t>
      </w:r>
      <w:r w:rsidR="00430730">
        <w:t xml:space="preserve">Upon reviewing the current NR NTN specification, similar to the implementation in IoT NTN, we advocate for the broader inclusion of neighbour SAI in </w:t>
      </w:r>
      <w:r w:rsidR="00430730" w:rsidRPr="000D4817">
        <w:rPr>
          <w:i/>
          <w:iCs/>
        </w:rPr>
        <w:t>MeasObjectNR</w:t>
      </w:r>
      <w:r w:rsidR="00430730">
        <w:t>.</w:t>
      </w:r>
    </w:p>
    <w:p w14:paraId="108A6949" w14:textId="77777777" w:rsidR="00AC5555" w:rsidRDefault="00AC555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04D1477" w14:textId="47C20EED" w:rsidR="00F9471E" w:rsidRPr="00F9471E" w:rsidRDefault="000D4817" w:rsidP="00757D66">
      <w:r>
        <w:lastRenderedPageBreak/>
        <w:t>T</w:t>
      </w:r>
      <w:r w:rsidR="00024AE0">
        <w:t xml:space="preserve">he </w:t>
      </w:r>
      <w:r>
        <w:t xml:space="preserve">present </w:t>
      </w:r>
      <w:r w:rsidR="00024AE0">
        <w:t>specification</w:t>
      </w:r>
      <w:r>
        <w:t xml:space="preserve"> text </w:t>
      </w:r>
      <w:r w:rsidR="00024AE0">
        <w:t xml:space="preserve">precludes </w:t>
      </w:r>
      <w:r>
        <w:t>SAI</w:t>
      </w:r>
      <w:r w:rsidR="00024AE0">
        <w:t xml:space="preserve"> to be present in any other case </w:t>
      </w:r>
      <w:r>
        <w:t>than event D2 or conditional event D2</w:t>
      </w:r>
      <w:r w:rsidR="002E5DD6">
        <w:t xml:space="preserve">. This constraint is not found in IoT NTN. This limitation undermines the network’s potential to configure UE </w:t>
      </w:r>
      <w:r w:rsidR="00024AE0">
        <w:t>to measure cells provided by neighbour</w:t>
      </w:r>
      <w:r w:rsidR="002E5DD6">
        <w:t xml:space="preserve">ing </w:t>
      </w:r>
      <w:r w:rsidR="00024AE0">
        <w:t xml:space="preserve">satellites </w:t>
      </w:r>
      <w:r w:rsidR="002E5DD6">
        <w:t xml:space="preserve">whose SAI is </w:t>
      </w:r>
      <w:r w:rsidR="00024AE0">
        <w:t>not included in SIB19</w:t>
      </w:r>
      <w:r w:rsidR="002E5DD6">
        <w:t>, such as those</w:t>
      </w:r>
      <w:r w:rsidR="00024AE0">
        <w:t xml:space="preserve"> in </w:t>
      </w:r>
      <w:r w:rsidR="002E5DD6">
        <w:t>alternative</w:t>
      </w:r>
      <w:r w:rsidR="00024AE0">
        <w:t xml:space="preserve"> constellation shell</w:t>
      </w:r>
      <w:r w:rsidR="002E5DD6">
        <w:t>s (e.g., NGSO or GSO)</w:t>
      </w:r>
      <w:r w:rsidR="00024AE0">
        <w:t>.</w:t>
      </w:r>
      <w:r w:rsidR="00A57DEF">
        <w:t xml:space="preserve"> T</w:t>
      </w:r>
      <w:r w:rsidR="00A57DEF" w:rsidRPr="00A57DEF">
        <w:t>h</w:t>
      </w:r>
      <w:r w:rsidR="00A57DEF">
        <w:t xml:space="preserve">is </w:t>
      </w:r>
      <w:r w:rsidR="00A57DEF" w:rsidRPr="00A57DEF">
        <w:t xml:space="preserve">generalization would substantially enhance network flexibility and operational robustness. It ensures that UEs can capitalize on a broader array of satellite resources, particularly in scenarios where terrestrial networks </w:t>
      </w:r>
      <w:r w:rsidR="00A57DEF">
        <w:t>might be</w:t>
      </w:r>
      <w:r w:rsidR="00A57DEF" w:rsidRPr="00A57DEF">
        <w:t xml:space="preserve"> insufficient.</w:t>
      </w:r>
      <w:r w:rsidR="00AC5555">
        <w:t xml:space="preserve"> Therefore, we propose to accept E302 and eliminate the optionality clause.</w:t>
      </w:r>
    </w:p>
    <w:p w14:paraId="1ACCBACD" w14:textId="7664A1BE" w:rsidR="002E5DD6" w:rsidRDefault="00F9471E" w:rsidP="002E5DD6">
      <w:pPr>
        <w:pStyle w:val="Proposal"/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bookmarkStart w:id="6" w:name="_Toc166143239"/>
      <w:r>
        <w:t>Accept E302</w:t>
      </w:r>
      <w:bookmarkEnd w:id="1"/>
      <w:bookmarkEnd w:id="2"/>
      <w:bookmarkEnd w:id="3"/>
      <w:bookmarkEnd w:id="4"/>
      <w:bookmarkEnd w:id="5"/>
      <w:r w:rsidR="002E5DD6">
        <w:t xml:space="preserve"> to align NR NTN and IoT NTN specification.</w:t>
      </w:r>
      <w:bookmarkEnd w:id="6"/>
    </w:p>
    <w:p w14:paraId="386302ED" w14:textId="77777777" w:rsidR="009577AE" w:rsidRPr="00A04F49" w:rsidRDefault="009577AE" w:rsidP="009577AE"/>
    <w:p w14:paraId="698B600D" w14:textId="311F9837" w:rsidR="00F63950" w:rsidRDefault="00230D18" w:rsidP="00F63950">
      <w:pPr>
        <w:pStyle w:val="Heading2"/>
      </w:pPr>
      <w:r>
        <w:t>2.2</w:t>
      </w:r>
      <w:r>
        <w:tab/>
      </w:r>
      <w:r w:rsidR="00F9471E">
        <w:t>[H115]</w:t>
      </w:r>
    </w:p>
    <w:p w14:paraId="45BD590F" w14:textId="56187A0C" w:rsidR="009D27ED" w:rsidRPr="009D27ED" w:rsidRDefault="009D27ED" w:rsidP="009D27ED">
      <w:r>
        <w:rPr>
          <w:noProof/>
        </w:rPr>
        <mc:AlternateContent>
          <mc:Choice Requires="wps">
            <w:drawing>
              <wp:inline distT="0" distB="0" distL="0" distR="0" wp14:anchorId="040F040B" wp14:editId="42B45A42">
                <wp:extent cx="5936776" cy="1404620"/>
                <wp:effectExtent l="0" t="0" r="26035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677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9FBC8" w14:textId="77777777" w:rsidR="009D27ED" w:rsidRDefault="009D27ED" w:rsidP="009D27ED">
                            <w:pPr>
                              <w:pStyle w:val="CommentText"/>
                            </w:pPr>
                            <w:r>
                              <w:fldChar w:fldCharType="begin"/>
                            </w:r>
                            <w:r>
                              <w:rPr>
                                <w:rStyle w:val="CommentReference"/>
                              </w:rPr>
                              <w:instrText xml:space="preserve"> </w:instrText>
                            </w:r>
                            <w:r>
                              <w:instrText>PAGE \# "'</w:instrText>
                            </w:r>
                            <w:r>
                              <w:rPr>
                                <w:rFonts w:hint="eastAsia"/>
                              </w:rPr>
                              <w:instrText>页</w:instrText>
                            </w:r>
                            <w:r>
                              <w:instrText>: '#'</w:instrText>
                            </w:r>
                            <w:r>
                              <w:br/>
                              <w:instrText>'"</w:instrText>
                            </w:r>
                            <w:r>
                              <w:rPr>
                                <w:rStyle w:val="CommentReference"/>
                              </w:rP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rPr>
                                <w:b/>
                              </w:rPr>
                              <w:t>[RIL]</w:t>
                            </w:r>
                            <w:r>
                              <w:t xml:space="preserve">: H115 </w:t>
                            </w:r>
                            <w:r>
                              <w:rPr>
                                <w:b/>
                              </w:rPr>
                              <w:t>[Delegate]</w:t>
                            </w:r>
                            <w:r>
                              <w:t xml:space="preserve">: Huawei (Lili) </w:t>
                            </w:r>
                            <w:r>
                              <w:rPr>
                                <w:b/>
                              </w:rPr>
                              <w:t>[WI]</w:t>
                            </w:r>
                            <w:r>
                              <w:t xml:space="preserve">: NTN </w:t>
                            </w:r>
                            <w:r>
                              <w:rPr>
                                <w:b/>
                              </w:rPr>
                              <w:t>[Class]</w:t>
                            </w:r>
                            <w:r>
                              <w:t xml:space="preserve">: 1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[Status]</w:t>
                            </w:r>
                            <w:r>
                              <w:rPr>
                                <w:color w:val="FF0000"/>
                              </w:rPr>
                              <w:t xml:space="preserve">: ToDo </w:t>
                            </w:r>
                            <w:r>
                              <w:rPr>
                                <w:b/>
                              </w:rPr>
                              <w:t>[TDoc]</w:t>
                            </w:r>
                            <w:r>
                              <w:t xml:space="preserve">: R2-24xxxxx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[Proposed Conclusion]</w:t>
                            </w:r>
                            <w:r>
                              <w:rPr>
                                <w:color w:val="FF0000"/>
                              </w:rPr>
                              <w:t>: v038</w:t>
                            </w:r>
                          </w:p>
                          <w:p w14:paraId="409CF98E" w14:textId="77777777" w:rsidR="009D27ED" w:rsidRDefault="009D27ED" w:rsidP="009D27ED">
                            <w:pPr>
                              <w:pStyle w:val="CommentText"/>
                            </w:pPr>
                            <w:r>
                              <w:rPr>
                                <w:b/>
                              </w:rPr>
                              <w:t>[Description]</w:t>
                            </w:r>
                            <w:r>
                              <w:t>: Only SIB19 needs to be reacquired after satellite switching with re-sync, other SIBs don’t</w:t>
                            </w:r>
                          </w:p>
                          <w:p w14:paraId="5AEF9F5B" w14:textId="3AEDAF51" w:rsidR="009D27ED" w:rsidRDefault="009D27ED" w:rsidP="009D27ED">
                            <w:pPr>
                              <w:pStyle w:val="CommentText"/>
                            </w:pPr>
                            <w:r>
                              <w:rPr>
                                <w:b/>
                              </w:rPr>
                              <w:t>[Proposed Change]</w:t>
                            </w:r>
                            <w:r>
                              <w:t>: According to the current text, “</w:t>
                            </w:r>
                            <w:r>
                              <w:rPr>
                                <w:lang w:eastAsia="zh-TW"/>
                              </w:rPr>
                              <w:t>T</w:t>
                            </w:r>
                            <w:r>
                              <w:t xml:space="preserve">he UE shall apply the SI acquisition procedure as defined in clause 5.2.2.3 … after </w:t>
                            </w:r>
                            <w:r>
                              <w:rPr>
                                <w:lang w:eastAsia="zh-CN"/>
                              </w:rPr>
                              <w:t xml:space="preserve">reconfiguration with sync </w:t>
                            </w:r>
                            <w:r>
                              <w:t>completion”. Actually only SIB19 needs to be reacquired (for updated ephemeris information), other SIBs don’t need to be reacquired since the cell is not changed.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0F040B" id="_x0000_s1027" type="#_x0000_t202" style="width:467.4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sVFQIAACcEAAAOAAAAZHJzL2Uyb0RvYy54bWysk99v2yAQx98n7X9AvC92siRt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">
                <v:textbox style="mso-fit-shape-to-text:t">
                  <w:txbxContent>
                    <w:p w14:paraId="37D9FBC8" w14:textId="77777777" w:rsidR="009D27ED" w:rsidRDefault="009D27ED" w:rsidP="009D27ED">
                      <w:pPr>
                        <w:pStyle w:val="CommentText"/>
                      </w:pPr>
                      <w:r>
                        <w:fldChar w:fldCharType="begin"/>
                      </w:r>
                      <w:r>
                        <w:rPr>
                          <w:rStyle w:val="CommentReference"/>
                        </w:rPr>
                        <w:instrText xml:space="preserve"> </w:instrText>
                      </w:r>
                      <w:r>
                        <w:instrText>PAGE \# "'</w:instrText>
                      </w:r>
                      <w:r>
                        <w:rPr>
                          <w:rFonts w:hint="eastAsia"/>
                        </w:rPr>
                        <w:instrText>页</w:instrText>
                      </w:r>
                      <w:r>
                        <w:instrText>: '#'</w:instrText>
                      </w:r>
                      <w:r>
                        <w:br/>
                        <w:instrText>'"</w:instrText>
                      </w:r>
                      <w:r>
                        <w:rPr>
                          <w:rStyle w:val="CommentReference"/>
                        </w:rPr>
                        <w:instrText xml:space="preserve"> </w:instrText>
                      </w:r>
                      <w:r>
                        <w:fldChar w:fldCharType="end"/>
                      </w:r>
                      <w:r>
                        <w:rPr>
                          <w:b/>
                        </w:rPr>
                        <w:t>[RIL]</w:t>
                      </w:r>
                      <w:r>
                        <w:t xml:space="preserve">: H115 </w:t>
                      </w:r>
                      <w:r>
                        <w:rPr>
                          <w:b/>
                        </w:rPr>
                        <w:t>[Delegate]</w:t>
                      </w:r>
                      <w:r>
                        <w:t xml:space="preserve">: Huawei (Lili) </w:t>
                      </w:r>
                      <w:r>
                        <w:rPr>
                          <w:b/>
                        </w:rPr>
                        <w:t>[WI]</w:t>
                      </w:r>
                      <w:r>
                        <w:t xml:space="preserve">: NTN </w:t>
                      </w:r>
                      <w:r>
                        <w:rPr>
                          <w:b/>
                        </w:rPr>
                        <w:t>[Class]</w:t>
                      </w:r>
                      <w:r>
                        <w:t xml:space="preserve">: 1 </w:t>
                      </w:r>
                      <w:r>
                        <w:rPr>
                          <w:b/>
                          <w:color w:val="FF0000"/>
                        </w:rPr>
                        <w:t>[Status]</w:t>
                      </w:r>
                      <w:r>
                        <w:rPr>
                          <w:color w:val="FF0000"/>
                        </w:rPr>
                        <w:t xml:space="preserve">: ToDo </w:t>
                      </w:r>
                      <w:r>
                        <w:rPr>
                          <w:b/>
                        </w:rPr>
                        <w:t>[TDoc]</w:t>
                      </w:r>
                      <w:r>
                        <w:t xml:space="preserve">: R2-24xxxxx </w:t>
                      </w:r>
                      <w:r>
                        <w:rPr>
                          <w:b/>
                          <w:color w:val="FF0000"/>
                        </w:rPr>
                        <w:t>[Proposed Conclusion]</w:t>
                      </w:r>
                      <w:r>
                        <w:rPr>
                          <w:color w:val="FF0000"/>
                        </w:rPr>
                        <w:t>: v038</w:t>
                      </w:r>
                    </w:p>
                    <w:p w14:paraId="409CF98E" w14:textId="77777777" w:rsidR="009D27ED" w:rsidRDefault="009D27ED" w:rsidP="009D27ED">
                      <w:pPr>
                        <w:pStyle w:val="CommentText"/>
                      </w:pPr>
                      <w:r>
                        <w:rPr>
                          <w:b/>
                        </w:rPr>
                        <w:t>[Description]</w:t>
                      </w:r>
                      <w:r>
                        <w:t>: Only SIB19 needs to be reacquired after satellite switching with re-sync, other SIBs don’t</w:t>
                      </w:r>
                    </w:p>
                    <w:p w14:paraId="5AEF9F5B" w14:textId="3AEDAF51" w:rsidR="009D27ED" w:rsidRDefault="009D27ED" w:rsidP="009D27ED">
                      <w:pPr>
                        <w:pStyle w:val="CommentText"/>
                      </w:pPr>
                      <w:r>
                        <w:rPr>
                          <w:b/>
                        </w:rPr>
                        <w:t>[Proposed Change]</w:t>
                      </w:r>
                      <w:r>
                        <w:t>: According to the current text, “</w:t>
                      </w:r>
                      <w:r>
                        <w:rPr>
                          <w:lang w:eastAsia="zh-TW"/>
                        </w:rPr>
                        <w:t>T</w:t>
                      </w:r>
                      <w:r>
                        <w:t xml:space="preserve">he UE shall apply the SI acquisition procedure as defined in clause 5.2.2.3 … after </w:t>
                      </w:r>
                      <w:r>
                        <w:rPr>
                          <w:lang w:eastAsia="zh-CN"/>
                        </w:rPr>
                        <w:t xml:space="preserve">reconfiguration with sync </w:t>
                      </w:r>
                      <w:r>
                        <w:t>completion”. Actually only SIB19 needs to be reacquired (for updated ephemeris information), other SIBs don’t need to be reacquired since the cell is not changed.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7C57D6" w14:textId="77777777" w:rsidR="00251EC1" w:rsidRDefault="00F43898" w:rsidP="003C49EA">
      <w:r>
        <w:t>The RIL claims</w:t>
      </w:r>
      <w:r w:rsidR="00A67EB5" w:rsidRPr="00A67EB5">
        <w:t xml:space="preserve"> that upon a satellite switch, only the reacquisition of SIB19 is </w:t>
      </w:r>
      <w:r w:rsidR="000E2A7A" w:rsidRPr="00A67EB5">
        <w:t>necessary since</w:t>
      </w:r>
      <w:r w:rsidR="00A67EB5" w:rsidRPr="00A67EB5">
        <w:t xml:space="preserve"> the content of other System Information Blocks (SIBs) remains unchanged. We </w:t>
      </w:r>
      <w:r w:rsidR="000E2A7A">
        <w:t>consider</w:t>
      </w:r>
      <w:r w:rsidR="00A67EB5" w:rsidRPr="00A67EB5">
        <w:t xml:space="preserve"> that this stance requires careful consideration, as it may not hold true in all scenarios.</w:t>
      </w:r>
      <w:r w:rsidR="000E2A7A">
        <w:t xml:space="preserve"> For instance, there are cases </w:t>
      </w:r>
      <w:r w:rsidR="00386547">
        <w:t xml:space="preserve">where specific fields </w:t>
      </w:r>
      <w:r w:rsidR="000E2A7A" w:rsidRPr="000E2A7A">
        <w:t xml:space="preserve">within System Information, such as the SMTC for </w:t>
      </w:r>
      <w:r w:rsidR="00386547" w:rsidRPr="000E2A7A">
        <w:t>neighbouring</w:t>
      </w:r>
      <w:r w:rsidR="000E2A7A" w:rsidRPr="000E2A7A">
        <w:t xml:space="preserve"> satellites </w:t>
      </w:r>
      <w:r w:rsidR="00386547">
        <w:t xml:space="preserve">(when switches happen simultaneously) </w:t>
      </w:r>
      <w:r w:rsidR="000E2A7A" w:rsidRPr="000E2A7A">
        <w:t xml:space="preserve">or </w:t>
      </w:r>
      <w:r w:rsidR="00386547">
        <w:t xml:space="preserve">even </w:t>
      </w:r>
      <w:r w:rsidR="000E2A7A" w:rsidRPr="000E2A7A">
        <w:t xml:space="preserve">the cell's timing, may indeed </w:t>
      </w:r>
      <w:r w:rsidR="00251EC1">
        <w:t xml:space="preserve">need an update upon </w:t>
      </w:r>
      <w:r w:rsidR="000E2A7A" w:rsidRPr="000E2A7A">
        <w:t xml:space="preserve">a satellite switch </w:t>
      </w:r>
      <w:r w:rsidR="00251EC1">
        <w:t>with r</w:t>
      </w:r>
      <w:r w:rsidR="000E2A7A" w:rsidRPr="000E2A7A">
        <w:t>e-synchronization.</w:t>
      </w:r>
    </w:p>
    <w:p w14:paraId="45017E87" w14:textId="352C2304" w:rsidR="00251EC1" w:rsidRDefault="00251EC1" w:rsidP="00251EC1">
      <w:pPr>
        <w:pStyle w:val="Observation"/>
      </w:pPr>
      <w:bookmarkStart w:id="7" w:name="_Toc166143248"/>
      <w:r>
        <w:t xml:space="preserve">System Information </w:t>
      </w:r>
      <w:r w:rsidR="00300749">
        <w:t xml:space="preserve">parameters might change </w:t>
      </w:r>
      <w:r>
        <w:t>upon satellite switch.</w:t>
      </w:r>
      <w:bookmarkEnd w:id="7"/>
    </w:p>
    <w:p w14:paraId="4F8ACE87" w14:textId="144A0FA6" w:rsidR="000E2A7A" w:rsidRDefault="000E2A7A" w:rsidP="003C49EA">
      <w:r w:rsidRPr="000E2A7A">
        <w:t xml:space="preserve">Given this possibility, we advocate for a more prudent approach, </w:t>
      </w:r>
      <w:r w:rsidR="002A1FED">
        <w:t>and propose</w:t>
      </w:r>
      <w:r w:rsidRPr="000E2A7A">
        <w:t xml:space="preserve"> that the</w:t>
      </w:r>
      <w:r w:rsidR="002A1FED">
        <w:t xml:space="preserve"> </w:t>
      </w:r>
      <w:r w:rsidRPr="000E2A7A">
        <w:t xml:space="preserve">UE </w:t>
      </w:r>
      <w:r w:rsidR="002A1FED">
        <w:t>is</w:t>
      </w:r>
      <w:r w:rsidRPr="000E2A7A">
        <w:t xml:space="preserve"> required to re-acquire System Information following </w:t>
      </w:r>
      <w:r w:rsidR="002A1FED">
        <w:t>satellite switch with resynchronization</w:t>
      </w:r>
      <w:r w:rsidRPr="000E2A7A">
        <w:t xml:space="preserve"> to ensure the accuracy and reliability of the information obtained.</w:t>
      </w:r>
    </w:p>
    <w:p w14:paraId="197E7E66" w14:textId="77777777" w:rsidR="002A1FED" w:rsidRDefault="002A1FED" w:rsidP="002A1FED">
      <w:pPr>
        <w:pStyle w:val="Proposal"/>
      </w:pPr>
      <w:bookmarkStart w:id="8" w:name="_Toc166143240"/>
      <w:r>
        <w:t>Reject [H115]. UE re-acquires system information upon satellite switch with resynchronization.</w:t>
      </w:r>
      <w:bookmarkEnd w:id="8"/>
    </w:p>
    <w:p w14:paraId="3D745AF8" w14:textId="53475445" w:rsidR="003C49EA" w:rsidRDefault="002A1FED" w:rsidP="002A1FED">
      <w:r w:rsidRPr="002A1FED">
        <w:t xml:space="preserve">RAN2 may take the view that the configurations of the source and target cells could be identical, </w:t>
      </w:r>
      <w:r w:rsidR="00782FFB">
        <w:t xml:space="preserve">which is indeed </w:t>
      </w:r>
      <w:r w:rsidRPr="002A1FED">
        <w:t>subject to implementation.</w:t>
      </w:r>
      <w:r w:rsidR="00782FFB">
        <w:t xml:space="preserve"> In this case, </w:t>
      </w:r>
      <w:r w:rsidRPr="002A1FED">
        <w:t xml:space="preserve">the UE </w:t>
      </w:r>
      <w:r w:rsidR="00782FFB">
        <w:t xml:space="preserve">could </w:t>
      </w:r>
      <w:r w:rsidR="009B40D1">
        <w:t xml:space="preserve">certainly </w:t>
      </w:r>
      <w:r w:rsidR="00782FFB">
        <w:t>not</w:t>
      </w:r>
      <w:r w:rsidR="009B40D1">
        <w:t xml:space="preserve"> be</w:t>
      </w:r>
      <w:r w:rsidR="00782FFB">
        <w:t xml:space="preserve"> required </w:t>
      </w:r>
      <w:r w:rsidRPr="002A1FED">
        <w:t>to re-acquire all system information</w:t>
      </w:r>
      <w:r w:rsidR="009B40D1">
        <w:t xml:space="preserve">. Still, network should ensure that </w:t>
      </w:r>
      <w:r w:rsidRPr="002A1FED">
        <w:t xml:space="preserve">value tags </w:t>
      </w:r>
      <w:r w:rsidR="009B40D1">
        <w:t xml:space="preserve">should </w:t>
      </w:r>
      <w:r w:rsidRPr="002A1FED">
        <w:t>maintain consistency across cells to prevent any ambiguity.</w:t>
      </w:r>
    </w:p>
    <w:p w14:paraId="1DB62A57" w14:textId="6E3E2668" w:rsidR="00F43FBC" w:rsidRPr="00F9471E" w:rsidRDefault="00F43FBC" w:rsidP="00F9471E">
      <w:pPr>
        <w:pStyle w:val="Proposal"/>
      </w:pPr>
      <w:bookmarkStart w:id="9" w:name="_Toc166143241"/>
      <w:r>
        <w:t>If P2 is not agreed, it is up to network implementation to secure that v</w:t>
      </w:r>
      <w:r w:rsidRPr="00F43FBC">
        <w:t xml:space="preserve">alue tags </w:t>
      </w:r>
      <w:r>
        <w:t>are set</w:t>
      </w:r>
      <w:r w:rsidRPr="00F43FBC">
        <w:t xml:space="preserve"> consistent</w:t>
      </w:r>
      <w:r w:rsidR="007D41B3">
        <w:t>ly</w:t>
      </w:r>
      <w:r w:rsidRPr="00F43FBC">
        <w:t xml:space="preserve"> across cells</w:t>
      </w:r>
      <w:r>
        <w:t xml:space="preserve"> upon satellite switch with resynchronization</w:t>
      </w:r>
      <w:r w:rsidRPr="00F43FBC">
        <w:t>.</w:t>
      </w:r>
      <w:bookmarkEnd w:id="9"/>
    </w:p>
    <w:p w14:paraId="0A4BF19F" w14:textId="673F2585" w:rsidR="00F63950" w:rsidRDefault="00230D18" w:rsidP="00F63950">
      <w:pPr>
        <w:pStyle w:val="Heading2"/>
      </w:pPr>
      <w:r>
        <w:lastRenderedPageBreak/>
        <w:t>2.3</w:t>
      </w:r>
      <w:r>
        <w:tab/>
      </w:r>
      <w:r w:rsidR="00F9471E">
        <w:t>[H010]</w:t>
      </w:r>
    </w:p>
    <w:p w14:paraId="1A8CDD50" w14:textId="7FA36CFD" w:rsidR="00917BD0" w:rsidRPr="00917BD0" w:rsidRDefault="00917BD0" w:rsidP="00917BD0">
      <w:r>
        <w:rPr>
          <w:noProof/>
        </w:rPr>
        <mc:AlternateContent>
          <mc:Choice Requires="wps">
            <w:drawing>
              <wp:inline distT="0" distB="0" distL="0" distR="0" wp14:anchorId="3B99206B" wp14:editId="218A3B79">
                <wp:extent cx="5889009" cy="1404620"/>
                <wp:effectExtent l="0" t="0" r="1651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00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0C36" w14:textId="1D763293" w:rsidR="00917BD0" w:rsidRDefault="00917BD0" w:rsidP="00917BD0">
                            <w:pPr>
                              <w:pStyle w:val="CommentText"/>
                              <w:rPr>
                                <w:lang w:eastAsia="zh-CN"/>
                              </w:rPr>
                            </w:pPr>
                            <w:r>
                              <w:t xml:space="preserve">[RIL]: H010 [Delegate]: Huawei (Lili) [WI]: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NTN </w:t>
                            </w:r>
                            <w:r>
                              <w:t xml:space="preserve">[Class]: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1 </w:t>
                            </w:r>
                            <w:r>
                              <w:rPr>
                                <w:color w:val="FF0000"/>
                              </w:rPr>
                              <w:t xml:space="preserve">[Status]: ToDoOld </w:t>
                            </w:r>
                            <w:r>
                              <w:t xml:space="preserve">[TDoc]: None </w:t>
                            </w:r>
                            <w:r>
                              <w:rPr>
                                <w:color w:val="FF0000"/>
                              </w:rPr>
                              <w:t xml:space="preserve">[Proposed Conclusion]: </w:t>
                            </w:r>
                            <w:r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v</w:t>
                            </w:r>
                            <w:r>
                              <w:rPr>
                                <w:color w:val="FF0000"/>
                                <w:lang w:eastAsia="zh-CN"/>
                              </w:rPr>
                              <w:t>018</w:t>
                            </w:r>
                          </w:p>
                          <w:p w14:paraId="7F1D5BD7" w14:textId="77777777" w:rsidR="00917BD0" w:rsidRDefault="00917BD0" w:rsidP="00917BD0">
                            <w:pPr>
                              <w:pStyle w:val="CommentText"/>
                            </w:pPr>
                            <w:r>
                              <w:rPr>
                                <w:b/>
                              </w:rPr>
                              <w:t>[Description]</w:t>
                            </w:r>
                            <w:r>
                              <w:t>: Use stmc to replace ssb-TimeOffset</w:t>
                            </w:r>
                          </w:p>
                          <w:p w14:paraId="0E2029E6" w14:textId="5061BE98" w:rsidR="00917BD0" w:rsidRDefault="00917BD0" w:rsidP="00917BD0">
                            <w:pPr>
                              <w:pStyle w:val="CommentText"/>
                            </w:pPr>
                            <w:r>
                              <w:t xml:space="preserve">[Proposed Change]: </w:t>
                            </w:r>
                            <w:r>
                              <w:rPr>
                                <w:rFonts w:hint="eastAsia"/>
                              </w:rPr>
                              <w:t>T</w:t>
                            </w:r>
                            <w:r>
                              <w:t>he current field description for ssb-TimeOffset is not clear, whether the “SSB from source” refers to the start subframe of SMTC or the start symbol of the 1</w:t>
                            </w:r>
                            <w:r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detected SSB (that could vary among UEs).</w:t>
                            </w:r>
                          </w:p>
                          <w:p w14:paraId="67B8F8D8" w14:textId="77777777" w:rsidR="00917BD0" w:rsidRDefault="00917BD0" w:rsidP="00917BD0">
                            <w:pPr>
                              <w:pStyle w:val="TAL"/>
                            </w:pPr>
                            <w:r>
                              <w:t>ssb-TimeOffset</w:t>
                            </w:r>
                          </w:p>
                          <w:p w14:paraId="3E2F64C4" w14:textId="77777777" w:rsidR="00917BD0" w:rsidRDefault="00917BD0" w:rsidP="00917BD0">
                            <w:pPr>
                              <w:pStyle w:val="CommentText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t xml:space="preserve">Indicates the </w:t>
                            </w:r>
                            <w:r>
                              <w:rPr>
                                <w:highlight w:val="yellow"/>
                              </w:rPr>
                              <w:t>time offset between the SSB from source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highlight w:val="yellow"/>
                              </w:rPr>
                              <w:t>and target satellite</w:t>
                            </w:r>
                            <w:r>
                              <w:t xml:space="preserve"> at the uplink time synchronization reference point. It is given in number of subframes.</w:t>
                            </w:r>
                          </w:p>
                          <w:p w14:paraId="29BF525A" w14:textId="77777777" w:rsidR="00917BD0" w:rsidRDefault="00917BD0" w:rsidP="00917BD0">
                            <w:pPr>
                              <w:pStyle w:val="CommentText"/>
                            </w:pPr>
                            <w:r>
                              <w:t>Solution:</w:t>
                            </w:r>
                          </w:p>
                          <w:p w14:paraId="646122BE" w14:textId="2C53948A" w:rsidR="00917BD0" w:rsidRDefault="00917BD0" w:rsidP="00917BD0">
                            <w:r>
                              <w:t>Use “smtc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SSB-MTC” to replace “ssb-TimeOffset-r18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color w:val="993366"/>
                              </w:rPr>
                              <w:t>INTEGER</w:t>
                            </w:r>
                            <w:r>
                              <w:t xml:space="preserve"> (0..159)”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B99206B" id="_x0000_s1028" type="#_x0000_t202" style="width:463.7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">
                <v:textbox style="mso-fit-shape-to-text:t">
                  <w:txbxContent>
                    <w:p w14:paraId="4F6C0C36" w14:textId="1D763293" w:rsidR="00917BD0" w:rsidRDefault="00917BD0" w:rsidP="00917BD0">
                      <w:pPr>
                        <w:pStyle w:val="CommentText"/>
                        <w:rPr>
                          <w:lang w:eastAsia="zh-CN"/>
                        </w:rPr>
                      </w:pPr>
                      <w:r>
                        <w:t xml:space="preserve">[RIL]: H010 [Delegate]: Huawei (Lili) [WI]: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NTN </w:t>
                      </w:r>
                      <w:r>
                        <w:t xml:space="preserve">[Class]: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1 </w:t>
                      </w:r>
                      <w:r>
                        <w:rPr>
                          <w:color w:val="FF0000"/>
                        </w:rPr>
                        <w:t xml:space="preserve">[Status]: ToDoOld </w:t>
                      </w:r>
                      <w:r>
                        <w:t xml:space="preserve">[TDoc]: None </w:t>
                      </w:r>
                      <w:r>
                        <w:rPr>
                          <w:color w:val="FF0000"/>
                        </w:rPr>
                        <w:t xml:space="preserve">[Proposed Conclusion]: </w:t>
                      </w:r>
                      <w:r>
                        <w:rPr>
                          <w:rFonts w:hint="eastAsia"/>
                          <w:color w:val="FF0000"/>
                          <w:lang w:eastAsia="zh-CN"/>
                        </w:rPr>
                        <w:t>v</w:t>
                      </w:r>
                      <w:r>
                        <w:rPr>
                          <w:color w:val="FF0000"/>
                          <w:lang w:eastAsia="zh-CN"/>
                        </w:rPr>
                        <w:t>018</w:t>
                      </w:r>
                    </w:p>
                    <w:p w14:paraId="7F1D5BD7" w14:textId="77777777" w:rsidR="00917BD0" w:rsidRDefault="00917BD0" w:rsidP="00917BD0">
                      <w:pPr>
                        <w:pStyle w:val="CommentText"/>
                      </w:pPr>
                      <w:r>
                        <w:rPr>
                          <w:b/>
                        </w:rPr>
                        <w:t>[Description]</w:t>
                      </w:r>
                      <w:r>
                        <w:t>: Use stmc to replace ssb-TimeOffset</w:t>
                      </w:r>
                    </w:p>
                    <w:p w14:paraId="0E2029E6" w14:textId="5061BE98" w:rsidR="00917BD0" w:rsidRDefault="00917BD0" w:rsidP="00917BD0">
                      <w:pPr>
                        <w:pStyle w:val="CommentText"/>
                      </w:pPr>
                      <w:r>
                        <w:t xml:space="preserve">[Proposed Change]: </w:t>
                      </w:r>
                      <w:r>
                        <w:rPr>
                          <w:rFonts w:hint="eastAsia"/>
                        </w:rPr>
                        <w:t>T</w:t>
                      </w:r>
                      <w:r>
                        <w:t>he current field description for ssb-TimeOffset is not clear, whether the “SSB from source” refers to the start subframe of SMTC or the start symbol of the 1</w:t>
                      </w:r>
                      <w:r>
                        <w:rPr>
                          <w:vertAlign w:val="superscript"/>
                        </w:rPr>
                        <w:t>st</w:t>
                      </w:r>
                      <w:r>
                        <w:t xml:space="preserve"> detected SSB (that could vary among UEs).</w:t>
                      </w:r>
                    </w:p>
                    <w:p w14:paraId="67B8F8D8" w14:textId="77777777" w:rsidR="00917BD0" w:rsidRDefault="00917BD0" w:rsidP="00917BD0">
                      <w:pPr>
                        <w:pStyle w:val="TAL"/>
                      </w:pPr>
                      <w:r>
                        <w:t>ssb-TimeOffset</w:t>
                      </w:r>
                    </w:p>
                    <w:p w14:paraId="3E2F64C4" w14:textId="77777777" w:rsidR="00917BD0" w:rsidRDefault="00917BD0" w:rsidP="00917BD0">
                      <w:pPr>
                        <w:pStyle w:val="CommentText"/>
                        <w:rPr>
                          <w:rFonts w:eastAsia="DengXian"/>
                          <w:lang w:eastAsia="zh-CN"/>
                        </w:rPr>
                      </w:pPr>
                      <w:r>
                        <w:t xml:space="preserve">Indicates the </w:t>
                      </w:r>
                      <w:r>
                        <w:rPr>
                          <w:highlight w:val="yellow"/>
                        </w:rPr>
                        <w:t>time offset between the SSB from source</w:t>
                      </w:r>
                      <w:r>
                        <w:t xml:space="preserve"> </w:t>
                      </w:r>
                      <w:r>
                        <w:rPr>
                          <w:highlight w:val="yellow"/>
                        </w:rPr>
                        <w:t>and target satellite</w:t>
                      </w:r>
                      <w:r>
                        <w:t xml:space="preserve"> at the uplink time synchronization reference point. It is given in number of subframes.</w:t>
                      </w:r>
                    </w:p>
                    <w:p w14:paraId="29BF525A" w14:textId="77777777" w:rsidR="00917BD0" w:rsidRDefault="00917BD0" w:rsidP="00917BD0">
                      <w:pPr>
                        <w:pStyle w:val="CommentText"/>
                      </w:pPr>
                      <w:r>
                        <w:t>Solution:</w:t>
                      </w:r>
                    </w:p>
                    <w:p w14:paraId="646122BE" w14:textId="2C53948A" w:rsidR="00917BD0" w:rsidRDefault="00917BD0" w:rsidP="00917BD0">
                      <w:r>
                        <w:t>Use “smtc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SSB-MTC” to replace “ssb-TimeOffset-r18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color w:val="993366"/>
                        </w:rPr>
                        <w:t>INTEGER</w:t>
                      </w:r>
                      <w:r>
                        <w:t xml:space="preserve"> (0..159)”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225E7E" w14:textId="2431AE7D" w:rsidR="00F9471E" w:rsidRDefault="00A82504" w:rsidP="00F9471E">
      <w:r w:rsidRPr="00A82504">
        <w:t xml:space="preserve">Despite the proposed solution in H010 </w:t>
      </w:r>
      <w:r>
        <w:t>aims</w:t>
      </w:r>
      <w:r w:rsidRPr="00A82504">
        <w:t xml:space="preserve"> to address </w:t>
      </w:r>
      <w:r>
        <w:t>a possible</w:t>
      </w:r>
      <w:r w:rsidRPr="00A82504">
        <w:t xml:space="preserve"> ambiguity, </w:t>
      </w:r>
      <w:r>
        <w:t xml:space="preserve">we think that </w:t>
      </w:r>
      <w:r w:rsidRPr="00A82504">
        <w:t>the concept of SSB-MTC is not pertinent to the serving cell, and the introduction of this change may not effectively resolve the underlying issues</w:t>
      </w:r>
      <w:r w:rsidR="00F9471E">
        <w:t>.</w:t>
      </w:r>
      <w:r w:rsidR="00B0383F">
        <w:t xml:space="preserve"> </w:t>
      </w:r>
      <w:r w:rsidR="008121A1">
        <w:t>Furthermore</w:t>
      </w:r>
      <w:r w:rsidR="00B0383F">
        <w:t>,</w:t>
      </w:r>
      <w:r w:rsidR="000B4188">
        <w:t xml:space="preserve"> </w:t>
      </w:r>
      <w:r w:rsidR="00B0383F" w:rsidRPr="00B0383F">
        <w:t xml:space="preserve">RAN4 </w:t>
      </w:r>
      <w:r w:rsidR="00B0383F">
        <w:t>is presently discussing</w:t>
      </w:r>
      <w:r w:rsidR="00B0383F" w:rsidRPr="00B0383F">
        <w:t xml:space="preserve"> the </w:t>
      </w:r>
      <w:r w:rsidR="00B0383F">
        <w:t xml:space="preserve">related </w:t>
      </w:r>
      <w:r w:rsidR="00B0383F" w:rsidRPr="00B0383F">
        <w:t>requirements consider</w:t>
      </w:r>
      <w:r w:rsidR="006A7C30">
        <w:t>ing</w:t>
      </w:r>
      <w:r w:rsidR="00B0383F" w:rsidRPr="00B0383F">
        <w:t xml:space="preserve"> </w:t>
      </w:r>
      <w:r w:rsidR="00B0383F" w:rsidRPr="006A7C30">
        <w:rPr>
          <w:i/>
          <w:iCs/>
        </w:rPr>
        <w:t>ssb-TimeOffset</w:t>
      </w:r>
      <w:r w:rsidR="006A7C30">
        <w:t xml:space="preserve">. </w:t>
      </w:r>
      <w:r w:rsidR="00583497">
        <w:t xml:space="preserve">Should </w:t>
      </w:r>
      <w:r w:rsidR="005215BC">
        <w:t>these discussions</w:t>
      </w:r>
      <w:r w:rsidR="00583497">
        <w:t xml:space="preserve"> determine there exists</w:t>
      </w:r>
      <w:r w:rsidR="006A7C30">
        <w:t xml:space="preserve"> an ambiguity</w:t>
      </w:r>
      <w:r w:rsidR="00817E67">
        <w:t>, RAN2 c</w:t>
      </w:r>
      <w:r w:rsidR="006A7C30">
        <w:t xml:space="preserve">ould </w:t>
      </w:r>
      <w:r w:rsidR="00817E67">
        <w:t xml:space="preserve">add a clarification a the symbol level. </w:t>
      </w:r>
      <w:r w:rsidR="005215BC">
        <w:t xml:space="preserve">Otherwise, we advocate for maintaining </w:t>
      </w:r>
      <w:r w:rsidR="005215BC" w:rsidRPr="005215BC">
        <w:rPr>
          <w:i/>
          <w:iCs/>
        </w:rPr>
        <w:t>ssb-TimeOffset</w:t>
      </w:r>
      <w:r w:rsidR="005215BC">
        <w:t>.</w:t>
      </w:r>
    </w:p>
    <w:p w14:paraId="029DB68D" w14:textId="3D47A5EF" w:rsidR="00F9471E" w:rsidRPr="00F9471E" w:rsidRDefault="00F9471E" w:rsidP="00F9471E">
      <w:pPr>
        <w:pStyle w:val="Proposal"/>
        <w:tabs>
          <w:tab w:val="clear" w:pos="1304"/>
        </w:tabs>
        <w:ind w:left="1701" w:hanging="1701"/>
      </w:pPr>
      <w:bookmarkStart w:id="10" w:name="_Toc166143242"/>
      <w:r>
        <w:t>Reject H010</w:t>
      </w:r>
      <w:bookmarkEnd w:id="10"/>
    </w:p>
    <w:p w14:paraId="7216DDC5" w14:textId="7246C9F8" w:rsidR="00F9471E" w:rsidRDefault="00F9471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460E885" w14:textId="28047AF2" w:rsidR="007F2276" w:rsidRPr="00CE0424" w:rsidRDefault="00F9471E" w:rsidP="007F2276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C2AF109" w14:textId="14DABC18" w:rsidR="007C28E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143248" w:history="1">
        <w:r w:rsidR="007C28E3" w:rsidRPr="001C5F26">
          <w:rPr>
            <w:rStyle w:val="Hyperlink"/>
            <w:noProof/>
          </w:rPr>
          <w:t>Observation 1</w:t>
        </w:r>
        <w:r w:rsidR="007C28E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C28E3" w:rsidRPr="001C5F26">
          <w:rPr>
            <w:rStyle w:val="Hyperlink"/>
            <w:noProof/>
          </w:rPr>
          <w:t>System Information parameters might change upon satellite switch.</w:t>
        </w:r>
      </w:hyperlink>
    </w:p>
    <w:p w14:paraId="48599987" w14:textId="666DABE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017FF30" w14:textId="55B3B161" w:rsidR="007C28E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143239" w:history="1">
        <w:r w:rsidR="007C28E3" w:rsidRPr="0006779F">
          <w:rPr>
            <w:rStyle w:val="Hyperlink"/>
            <w:noProof/>
          </w:rPr>
          <w:t>Proposal 1</w:t>
        </w:r>
        <w:r w:rsidR="007C28E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C28E3" w:rsidRPr="0006779F">
          <w:rPr>
            <w:rStyle w:val="Hyperlink"/>
            <w:noProof/>
          </w:rPr>
          <w:t>Accept E302 to align NR NTN and IoT NTN specification.</w:t>
        </w:r>
      </w:hyperlink>
    </w:p>
    <w:p w14:paraId="03A59C13" w14:textId="060DA83D" w:rsidR="007C28E3" w:rsidRDefault="00B84E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240" w:history="1">
        <w:r w:rsidR="007C28E3" w:rsidRPr="0006779F">
          <w:rPr>
            <w:rStyle w:val="Hyperlink"/>
            <w:noProof/>
          </w:rPr>
          <w:t>Proposal 2</w:t>
        </w:r>
        <w:r w:rsidR="007C28E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C28E3" w:rsidRPr="0006779F">
          <w:rPr>
            <w:rStyle w:val="Hyperlink"/>
            <w:noProof/>
          </w:rPr>
          <w:t>Reject [H115]. UE re-acquires system information upon satellite switch with resynchronization.</w:t>
        </w:r>
      </w:hyperlink>
    </w:p>
    <w:p w14:paraId="03612AE5" w14:textId="5F65CEE0" w:rsidR="007C28E3" w:rsidRDefault="00B84E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241" w:history="1">
        <w:r w:rsidR="007C28E3" w:rsidRPr="0006779F">
          <w:rPr>
            <w:rStyle w:val="Hyperlink"/>
            <w:noProof/>
          </w:rPr>
          <w:t>Proposal 3</w:t>
        </w:r>
        <w:r w:rsidR="007C28E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C28E3" w:rsidRPr="0006779F">
          <w:rPr>
            <w:rStyle w:val="Hyperlink"/>
            <w:noProof/>
          </w:rPr>
          <w:t>If P2 is not agreed, it is up to network implementation to secure that value tags are set consistently across cells upon satellite switch with resynchronization.</w:t>
        </w:r>
      </w:hyperlink>
    </w:p>
    <w:p w14:paraId="41B74A30" w14:textId="21FAFF98" w:rsidR="007C28E3" w:rsidRDefault="00B84E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242" w:history="1">
        <w:r w:rsidR="007C28E3" w:rsidRPr="0006779F">
          <w:rPr>
            <w:rStyle w:val="Hyperlink"/>
            <w:noProof/>
          </w:rPr>
          <w:t>Proposal 4</w:t>
        </w:r>
        <w:r w:rsidR="007C28E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7C28E3" w:rsidRPr="0006779F">
          <w:rPr>
            <w:rStyle w:val="Hyperlink"/>
            <w:noProof/>
          </w:rPr>
          <w:t>Reject H010</w:t>
        </w:r>
      </w:hyperlink>
    </w:p>
    <w:p w14:paraId="128611C6" w14:textId="2FA5F9B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3922BF6" w14:textId="77777777" w:rsidR="00C01F33" w:rsidRPr="00CE0424" w:rsidRDefault="00C01F33" w:rsidP="006E062C"/>
    <w:p w14:paraId="29AD60D9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6FECCF80" w14:textId="3DD2A314" w:rsidR="003A7EF3" w:rsidRPr="00CE0424" w:rsidRDefault="006572BF" w:rsidP="006572BF">
      <w:pPr>
        <w:pStyle w:val="Reference"/>
      </w:pPr>
      <w:bookmarkStart w:id="12" w:name="_Ref174151459"/>
      <w:bookmarkStart w:id="13" w:name="_Ref189809556"/>
      <w:r w:rsidRPr="006572BF">
        <w:t>R2-2403762</w:t>
      </w:r>
      <w:r>
        <w:t xml:space="preserve">, </w:t>
      </w:r>
      <w:r w:rsidRPr="006572BF">
        <w:t>Updated Rapporteur’s input R18 NR NTN RRC RILs</w:t>
      </w:r>
      <w:r>
        <w:t xml:space="preserve">, </w:t>
      </w:r>
      <w:r w:rsidRPr="006572BF">
        <w:t>Ericsson</w:t>
      </w:r>
      <w:r>
        <w:t>, RAN2#125bis, April 2024.</w:t>
      </w:r>
      <w:bookmarkEnd w:id="12"/>
      <w:bookmarkEnd w:id="13"/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C6365" w14:textId="77777777" w:rsidR="0041585D" w:rsidRDefault="0041585D">
      <w:r>
        <w:separator/>
      </w:r>
    </w:p>
  </w:endnote>
  <w:endnote w:type="continuationSeparator" w:id="0">
    <w:p w14:paraId="2134B625" w14:textId="77777777" w:rsidR="0041585D" w:rsidRDefault="00415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64A6" w14:textId="77777777" w:rsidR="0041585D" w:rsidRDefault="0041585D">
      <w:r>
        <w:separator/>
      </w:r>
    </w:p>
  </w:footnote>
  <w:footnote w:type="continuationSeparator" w:id="0">
    <w:p w14:paraId="7182CD4A" w14:textId="77777777" w:rsidR="0041585D" w:rsidRDefault="00415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2"/>
  </w:num>
  <w:num w:numId="21" w16cid:durableId="976183084">
    <w:abstractNumId w:val="10"/>
  </w:num>
  <w:num w:numId="22" w16cid:durableId="1374117700">
    <w:abstractNumId w:val="20"/>
  </w:num>
  <w:num w:numId="23" w16cid:durableId="1533613684">
    <w:abstractNumId w:val="21"/>
  </w:num>
  <w:num w:numId="24" w16cid:durableId="1014725899">
    <w:abstractNumId w:val="11"/>
  </w:num>
  <w:num w:numId="25" w16cid:durableId="175481246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4AE0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188"/>
    <w:rsid w:val="000B4AB9"/>
    <w:rsid w:val="000B58C3"/>
    <w:rsid w:val="000B61E9"/>
    <w:rsid w:val="000C165A"/>
    <w:rsid w:val="000C2E19"/>
    <w:rsid w:val="000D0D07"/>
    <w:rsid w:val="000D4797"/>
    <w:rsid w:val="000D4817"/>
    <w:rsid w:val="000E0527"/>
    <w:rsid w:val="000E1E92"/>
    <w:rsid w:val="000E2A7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517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EC1"/>
    <w:rsid w:val="00257543"/>
    <w:rsid w:val="002617E7"/>
    <w:rsid w:val="00264228"/>
    <w:rsid w:val="00264334"/>
    <w:rsid w:val="0026473E"/>
    <w:rsid w:val="00266214"/>
    <w:rsid w:val="00267C83"/>
    <w:rsid w:val="00270FE1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ED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5DD6"/>
    <w:rsid w:val="002E7CAE"/>
    <w:rsid w:val="002F2771"/>
    <w:rsid w:val="002F37A9"/>
    <w:rsid w:val="0030074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507B"/>
    <w:rsid w:val="00346DB5"/>
    <w:rsid w:val="003477B1"/>
    <w:rsid w:val="00357380"/>
    <w:rsid w:val="003602D9"/>
    <w:rsid w:val="003604CE"/>
    <w:rsid w:val="00362A5E"/>
    <w:rsid w:val="00370E47"/>
    <w:rsid w:val="003742AC"/>
    <w:rsid w:val="00377CE1"/>
    <w:rsid w:val="00385BF0"/>
    <w:rsid w:val="00386547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326E"/>
    <w:rsid w:val="003C49EA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CF5"/>
    <w:rsid w:val="0041263E"/>
    <w:rsid w:val="00413AAC"/>
    <w:rsid w:val="00413E92"/>
    <w:rsid w:val="0041585D"/>
    <w:rsid w:val="00421105"/>
    <w:rsid w:val="00422AA4"/>
    <w:rsid w:val="004242F4"/>
    <w:rsid w:val="00427248"/>
    <w:rsid w:val="00430730"/>
    <w:rsid w:val="00437447"/>
    <w:rsid w:val="00441A92"/>
    <w:rsid w:val="00441B83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5BC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349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2B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C30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D66"/>
    <w:rsid w:val="007604B2"/>
    <w:rsid w:val="00765281"/>
    <w:rsid w:val="00766BAD"/>
    <w:rsid w:val="007729A2"/>
    <w:rsid w:val="007755F2"/>
    <w:rsid w:val="00776971"/>
    <w:rsid w:val="00780A80"/>
    <w:rsid w:val="0078177E"/>
    <w:rsid w:val="00782FFB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A669E"/>
    <w:rsid w:val="007B3D2D"/>
    <w:rsid w:val="007B50AE"/>
    <w:rsid w:val="007B51DF"/>
    <w:rsid w:val="007C05DD"/>
    <w:rsid w:val="007C28E3"/>
    <w:rsid w:val="007C3D18"/>
    <w:rsid w:val="007C60BF"/>
    <w:rsid w:val="007C6A07"/>
    <w:rsid w:val="007C75A1"/>
    <w:rsid w:val="007C77A5"/>
    <w:rsid w:val="007D04E5"/>
    <w:rsid w:val="007D41B3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21A1"/>
    <w:rsid w:val="008158D6"/>
    <w:rsid w:val="00817196"/>
    <w:rsid w:val="00817E6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122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BD0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1C6"/>
    <w:rsid w:val="0095681E"/>
    <w:rsid w:val="009572D4"/>
    <w:rsid w:val="009577AE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0D1"/>
    <w:rsid w:val="009B4DF4"/>
    <w:rsid w:val="009B564E"/>
    <w:rsid w:val="009B7E87"/>
    <w:rsid w:val="009C0169"/>
    <w:rsid w:val="009C403E"/>
    <w:rsid w:val="009D27ED"/>
    <w:rsid w:val="009D4FF0"/>
    <w:rsid w:val="009D5656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DEF"/>
    <w:rsid w:val="00A61499"/>
    <w:rsid w:val="00A62A77"/>
    <w:rsid w:val="00A63483"/>
    <w:rsid w:val="00A657D7"/>
    <w:rsid w:val="00A660AC"/>
    <w:rsid w:val="00A67E6C"/>
    <w:rsid w:val="00A67EB5"/>
    <w:rsid w:val="00A71B99"/>
    <w:rsid w:val="00A739D0"/>
    <w:rsid w:val="00A761D4"/>
    <w:rsid w:val="00A77EC4"/>
    <w:rsid w:val="00A8250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555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83F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FA9"/>
    <w:rsid w:val="00B664C7"/>
    <w:rsid w:val="00B739F6"/>
    <w:rsid w:val="00B81A6C"/>
    <w:rsid w:val="00B84E18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3D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28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2BD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298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898"/>
    <w:rsid w:val="00F43FB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71E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FED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CF002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F0028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CF0028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F0028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qFormat/>
    <w:rsid w:val="00CF0028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RAN2\Inbox\R2-2403762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235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5237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RAN2#126</cp:lastModifiedBy>
  <cp:revision>61</cp:revision>
  <cp:lastPrinted>2008-01-31T07:09:00Z</cp:lastPrinted>
  <dcterms:created xsi:type="dcterms:W3CDTF">2023-08-31T07:30:00Z</dcterms:created>
  <dcterms:modified xsi:type="dcterms:W3CDTF">2024-05-09T09:03:00Z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